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0C" w:rsidRPr="00BE3D55" w:rsidRDefault="00BE3D55">
      <w:pPr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BE3D55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BE3D55">
        <w:rPr>
          <w:rFonts w:ascii="Times New Roman" w:hAnsi="Times New Roman" w:cs="Times New Roman"/>
          <w:sz w:val="24"/>
          <w:szCs w:val="24"/>
        </w:rPr>
        <w:t xml:space="preserve"> szakdolgozat követelményei</w:t>
      </w:r>
    </w:p>
    <w:p w:rsidR="00BE3D55" w:rsidRPr="00BE3D55" w:rsidRDefault="00BE3D55">
      <w:pPr>
        <w:rPr>
          <w:rFonts w:ascii="Times New Roman" w:hAnsi="Times New Roman" w:cs="Times New Roman"/>
          <w:sz w:val="24"/>
          <w:szCs w:val="24"/>
        </w:rPr>
      </w:pP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>A. Formai követelmények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I. Az alkalmazott betűtípus: Times New </w:t>
      </w:r>
      <w:proofErr w:type="spellStart"/>
      <w:r w:rsidRPr="00BE3D5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BE3D55">
        <w:rPr>
          <w:rFonts w:ascii="Times New Roman" w:hAnsi="Times New Roman" w:cs="Times New Roman"/>
          <w:sz w:val="24"/>
          <w:szCs w:val="24"/>
        </w:rPr>
        <w:t xml:space="preserve"> 12-es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II. Sortávolság: 1,5 sor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III. Oldalbeállítás: 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   1. papírméret: A/4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   2. margóbeállítás: mindegyik irányban 2,5 cm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IV. Első oldal – </w:t>
      </w:r>
      <w:r w:rsidR="0080242F">
        <w:rPr>
          <w:rFonts w:ascii="Times New Roman" w:hAnsi="Times New Roman" w:cs="Times New Roman"/>
          <w:sz w:val="24"/>
          <w:szCs w:val="24"/>
        </w:rPr>
        <w:t>később kerül kiküldésre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V. </w:t>
      </w:r>
      <w:proofErr w:type="gramStart"/>
      <w:r w:rsidRPr="00BE3D5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E3D55">
        <w:rPr>
          <w:rFonts w:ascii="Times New Roman" w:hAnsi="Times New Roman" w:cs="Times New Roman"/>
          <w:sz w:val="24"/>
          <w:szCs w:val="24"/>
        </w:rPr>
        <w:t xml:space="preserve"> dolgozat tagolása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   A dolgozat tagolás</w:t>
      </w:r>
      <w:r w:rsidR="00A80134">
        <w:rPr>
          <w:rFonts w:ascii="Times New Roman" w:hAnsi="Times New Roman" w:cs="Times New Roman"/>
          <w:sz w:val="24"/>
          <w:szCs w:val="24"/>
        </w:rPr>
        <w:t>a</w:t>
      </w:r>
      <w:r w:rsidRPr="00BE3D55">
        <w:rPr>
          <w:rFonts w:ascii="Times New Roman" w:hAnsi="Times New Roman" w:cs="Times New Roman"/>
          <w:sz w:val="24"/>
          <w:szCs w:val="24"/>
        </w:rPr>
        <w:t xml:space="preserve"> során ajánlott a decimális rendszer alkalmazása</w:t>
      </w:r>
      <w:r>
        <w:rPr>
          <w:rFonts w:ascii="Times New Roman" w:hAnsi="Times New Roman" w:cs="Times New Roman"/>
          <w:sz w:val="24"/>
          <w:szCs w:val="24"/>
        </w:rPr>
        <w:t xml:space="preserve"> és az alábbi nagyobb </w:t>
      </w:r>
    </w:p>
    <w:p w:rsidR="00BE3D55" w:rsidRP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fejezetek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használata: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   1. </w:t>
      </w:r>
      <w:r w:rsidR="00A80134">
        <w:rPr>
          <w:rFonts w:ascii="Times New Roman" w:hAnsi="Times New Roman" w:cs="Times New Roman"/>
          <w:sz w:val="24"/>
          <w:szCs w:val="24"/>
        </w:rPr>
        <w:t>A</w:t>
      </w:r>
      <w:r w:rsidRPr="00BE3D55">
        <w:rPr>
          <w:rFonts w:ascii="Times New Roman" w:hAnsi="Times New Roman" w:cs="Times New Roman"/>
          <w:sz w:val="24"/>
          <w:szCs w:val="24"/>
        </w:rPr>
        <w:t xml:space="preserve"> témaválasztás indoklása</w:t>
      </w:r>
    </w:p>
    <w:p w:rsidR="00A80134" w:rsidRPr="00BE3D55" w:rsidRDefault="00A80134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Bevezetés, a témával foglalkozó szakirodalom feldolgozása</w:t>
      </w:r>
      <w:bookmarkStart w:id="0" w:name="_GoBack"/>
      <w:bookmarkEnd w:id="0"/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 w:rsidRPr="00BE3D55">
        <w:rPr>
          <w:rFonts w:ascii="Times New Roman" w:hAnsi="Times New Roman" w:cs="Times New Roman"/>
          <w:sz w:val="24"/>
          <w:szCs w:val="24"/>
        </w:rPr>
        <w:t xml:space="preserve">      </w:t>
      </w:r>
      <w:r w:rsidR="00A80134">
        <w:rPr>
          <w:rFonts w:ascii="Times New Roman" w:hAnsi="Times New Roman" w:cs="Times New Roman"/>
          <w:sz w:val="24"/>
          <w:szCs w:val="24"/>
        </w:rPr>
        <w:t>3</w:t>
      </w:r>
      <w:r w:rsidRPr="00BE3D55">
        <w:rPr>
          <w:rFonts w:ascii="Times New Roman" w:hAnsi="Times New Roman" w:cs="Times New Roman"/>
          <w:sz w:val="24"/>
          <w:szCs w:val="24"/>
        </w:rPr>
        <w:t>. Az alkalmazott módszerek</w:t>
      </w:r>
      <w:r w:rsidR="00A80134">
        <w:rPr>
          <w:rFonts w:ascii="Times New Roman" w:hAnsi="Times New Roman" w:cs="Times New Roman"/>
          <w:sz w:val="24"/>
          <w:szCs w:val="24"/>
        </w:rPr>
        <w:t xml:space="preserve"> és a felhasznált adatbázis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013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A8013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., … A dolgozat eredményei, a szerző határozza meg ezen fejezetek számát és címét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Utolsó fejezet. Összefoglalás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Az egyes (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)fejezetek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címe esetén alkalmazott módszerek (maximum hármas tagolás 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ajánlott</w:t>
      </w:r>
      <w:proofErr w:type="gramEnd"/>
      <w:r>
        <w:rPr>
          <w:rFonts w:ascii="Times New Roman" w:hAnsi="Times New Roman" w:cs="Times New Roman"/>
          <w:sz w:val="24"/>
          <w:szCs w:val="24"/>
        </w:rPr>
        <w:t>):</w:t>
      </w:r>
    </w:p>
    <w:p w:rsidR="00A80134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nagyfejezetek: </w:t>
      </w:r>
      <w:r w:rsidRPr="00BE3D55">
        <w:rPr>
          <w:rFonts w:ascii="Times New Roman" w:hAnsi="Times New Roman" w:cs="Times New Roman"/>
          <w:b/>
          <w:sz w:val="28"/>
          <w:szCs w:val="28"/>
        </w:rPr>
        <w:t xml:space="preserve">1. Times New </w:t>
      </w:r>
      <w:proofErr w:type="spellStart"/>
      <w:r w:rsidRPr="00BE3D55">
        <w:rPr>
          <w:rFonts w:ascii="Times New Roman" w:hAnsi="Times New Roman" w:cs="Times New Roman"/>
          <w:b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(ezeket mindig új oldalon kell kezdeni, és</w:t>
      </w:r>
      <w:r w:rsidR="00A801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0134">
        <w:rPr>
          <w:rFonts w:ascii="Times New Roman" w:hAnsi="Times New Roman" w:cs="Times New Roman"/>
          <w:sz w:val="24"/>
          <w:szCs w:val="24"/>
        </w:rPr>
        <w:t>a</w:t>
      </w:r>
      <w:proofErr w:type="gramEnd"/>
    </w:p>
    <w:p w:rsidR="00BE3D55" w:rsidRDefault="00A80134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fejezetcím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után </w:t>
      </w:r>
      <w:r w:rsidR="00BE3D55">
        <w:rPr>
          <w:rFonts w:ascii="Times New Roman" w:hAnsi="Times New Roman" w:cs="Times New Roman"/>
          <w:sz w:val="24"/>
          <w:szCs w:val="24"/>
        </w:rPr>
        <w:t>egy sort kihagyni)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alfejezetek: </w:t>
      </w:r>
      <w:r w:rsidRPr="00BE3D55">
        <w:rPr>
          <w:rFonts w:ascii="Times New Roman" w:hAnsi="Times New Roman" w:cs="Times New Roman"/>
          <w:b/>
          <w:sz w:val="24"/>
          <w:szCs w:val="24"/>
        </w:rPr>
        <w:t xml:space="preserve">3.1. Times New </w:t>
      </w:r>
      <w:proofErr w:type="spellStart"/>
      <w:r w:rsidRPr="00BE3D55">
        <w:rPr>
          <w:rFonts w:ascii="Times New Roman" w:hAnsi="Times New Roman" w:cs="Times New Roman"/>
          <w:b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(előtte és utána egy sort kihagyni)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kisfejezet: </w:t>
      </w:r>
      <w:r w:rsidRPr="00BE3D55">
        <w:rPr>
          <w:rFonts w:ascii="Times New Roman" w:hAnsi="Times New Roman" w:cs="Times New Roman"/>
          <w:i/>
          <w:sz w:val="24"/>
          <w:szCs w:val="24"/>
        </w:rPr>
        <w:t xml:space="preserve">4.1.1. Times New </w:t>
      </w:r>
      <w:proofErr w:type="spellStart"/>
      <w:r w:rsidRPr="00BE3D55">
        <w:rPr>
          <w:rFonts w:ascii="Times New Roman" w:hAnsi="Times New Roman" w:cs="Times New Roman"/>
          <w:i/>
          <w:sz w:val="24"/>
          <w:szCs w:val="24"/>
        </w:rPr>
        <w:t>Roman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(utána egy sort kihagyni)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VI. Hivatkozások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szöveg közbeni hivatkozás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., egy szerző: </w:t>
      </w:r>
      <w:r w:rsidR="00A86292">
        <w:rPr>
          <w:rFonts w:ascii="Times New Roman" w:hAnsi="Times New Roman" w:cs="Times New Roman"/>
          <w:sz w:val="24"/>
          <w:szCs w:val="24"/>
        </w:rPr>
        <w:t xml:space="preserve">„A modern urbanizációs ciklus első szakasza a városrobbanás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077E4">
        <w:rPr>
          <w:rFonts w:ascii="Times New Roman" w:hAnsi="Times New Roman" w:cs="Times New Roman"/>
          <w:sz w:val="24"/>
          <w:szCs w:val="24"/>
        </w:rPr>
        <w:t>Enyedi</w:t>
      </w:r>
      <w:r>
        <w:rPr>
          <w:rFonts w:ascii="Times New Roman" w:hAnsi="Times New Roman" w:cs="Times New Roman"/>
          <w:sz w:val="24"/>
          <w:szCs w:val="24"/>
        </w:rPr>
        <w:t>, 2012)</w:t>
      </w:r>
      <w:r w:rsidR="00A86292">
        <w:rPr>
          <w:rFonts w:ascii="Times New Roman" w:hAnsi="Times New Roman" w:cs="Times New Roman"/>
          <w:sz w:val="24"/>
          <w:szCs w:val="24"/>
        </w:rPr>
        <w:t>, amelynek legfontosabb jellemzője…” vagy „A modern urbanizációs ciklus első szakasza Enyedi (2012) szerint a városrobbanás, amelynek legfontosabb jellemzője…”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két szerző: </w:t>
      </w:r>
      <w:r w:rsidR="00A86292">
        <w:rPr>
          <w:rFonts w:ascii="Times New Roman" w:hAnsi="Times New Roman" w:cs="Times New Roman"/>
          <w:sz w:val="24"/>
          <w:szCs w:val="24"/>
        </w:rPr>
        <w:t xml:space="preserve">lásd a fenti szövegkörnyezetet - </w:t>
      </w:r>
      <w:r>
        <w:rPr>
          <w:rFonts w:ascii="Times New Roman" w:hAnsi="Times New Roman" w:cs="Times New Roman"/>
          <w:sz w:val="24"/>
          <w:szCs w:val="24"/>
        </w:rPr>
        <w:t xml:space="preserve">(Szabó – </w:t>
      </w:r>
      <w:r w:rsidR="008456D0">
        <w:rPr>
          <w:rFonts w:ascii="Times New Roman" w:hAnsi="Times New Roman" w:cs="Times New Roman"/>
          <w:sz w:val="24"/>
          <w:szCs w:val="24"/>
        </w:rPr>
        <w:t>Jakab</w:t>
      </w:r>
      <w:r>
        <w:rPr>
          <w:rFonts w:ascii="Times New Roman" w:hAnsi="Times New Roman" w:cs="Times New Roman"/>
          <w:sz w:val="24"/>
          <w:szCs w:val="24"/>
        </w:rPr>
        <w:t>, 201</w:t>
      </w:r>
      <w:r w:rsidR="008456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E3D55" w:rsidRDefault="00BE3D55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, három vagy több szerző</w:t>
      </w:r>
      <w:r w:rsidR="00A86292">
        <w:rPr>
          <w:rFonts w:ascii="Times New Roman" w:hAnsi="Times New Roman" w:cs="Times New Roman"/>
          <w:sz w:val="24"/>
          <w:szCs w:val="24"/>
        </w:rPr>
        <w:t>: lásd a fenti szövegkörnyezetet -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077E4">
        <w:rPr>
          <w:rFonts w:ascii="Times New Roman" w:hAnsi="Times New Roman" w:cs="Times New Roman"/>
          <w:sz w:val="24"/>
          <w:szCs w:val="24"/>
        </w:rPr>
        <w:t>Makra</w:t>
      </w:r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>., 20</w:t>
      </w:r>
      <w:r w:rsidR="00C077E4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86292" w:rsidRDefault="00A86292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Internetes forrás: lásd a fenti szövegkörnyezetet - (Internet1)</w:t>
      </w:r>
    </w:p>
    <w:p w:rsidR="00A86292" w:rsidRDefault="00A86292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Ezt főleg akkor kell alkalmazni, ha az Internetről valami fejlesztési dokumentum stb. </w:t>
      </w:r>
    </w:p>
    <w:p w:rsidR="00A86292" w:rsidRDefault="00A86292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kerül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letöltésre, ha cikk, könyv vagy könyvfejezet, akkor lásd az előző pontok.</w:t>
      </w:r>
    </w:p>
    <w:p w:rsidR="00D5654F" w:rsidRDefault="00A86292" w:rsidP="00D56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Ha egy helyen több műre is történik hivatkozás, ez </w:t>
      </w:r>
      <w:r w:rsidR="00D5654F">
        <w:rPr>
          <w:rFonts w:ascii="Times New Roman" w:hAnsi="Times New Roman" w:cs="Times New Roman"/>
          <w:sz w:val="24"/>
          <w:szCs w:val="24"/>
        </w:rPr>
        <w:t>időrendi</w:t>
      </w:r>
      <w:r>
        <w:rPr>
          <w:rFonts w:ascii="Times New Roman" w:hAnsi="Times New Roman" w:cs="Times New Roman"/>
          <w:sz w:val="24"/>
          <w:szCs w:val="24"/>
        </w:rPr>
        <w:t xml:space="preserve"> sorrendben történjen:</w:t>
      </w:r>
      <w:r w:rsidR="00D5654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5654F" w:rsidRDefault="00D5654F" w:rsidP="00D565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(Makra et </w:t>
      </w:r>
      <w:proofErr w:type="spellStart"/>
      <w:r>
        <w:rPr>
          <w:rFonts w:ascii="Times New Roman" w:hAnsi="Times New Roman" w:cs="Times New Roman"/>
          <w:sz w:val="24"/>
          <w:szCs w:val="24"/>
        </w:rPr>
        <w:t>al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2006; Enyedi, 2012; Szabó – Jakab, 2013)</w:t>
      </w:r>
    </w:p>
    <w:p w:rsidR="0067619D" w:rsidRDefault="0067619D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irodalomjegyzék</w:t>
      </w:r>
    </w:p>
    <w:p w:rsidR="0067619D" w:rsidRDefault="0067619D" w:rsidP="00BE3D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., folyóiratban megjelent tanulmány</w:t>
      </w:r>
    </w:p>
    <w:p w:rsidR="0067619D" w:rsidRDefault="008456D0" w:rsidP="00C077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Szabó, J. – Jakab, G. (2013)</w:t>
      </w:r>
      <w:r w:rsidR="00D565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Vízmosások területi eloszlása a lejtőszög és a kitettség függvényében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Medves-vidéken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Völgységben. </w:t>
      </w:r>
      <w:r w:rsidRPr="00C077E4">
        <w:rPr>
          <w:rFonts w:ascii="Times New Roman" w:hAnsi="Times New Roman" w:cs="Times New Roman"/>
          <w:i/>
          <w:sz w:val="24"/>
          <w:szCs w:val="24"/>
        </w:rPr>
        <w:t>Földrajzi Közlemények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137(</w:t>
      </w:r>
      <w:proofErr w:type="gramEnd"/>
      <w:r>
        <w:rPr>
          <w:rFonts w:ascii="Times New Roman" w:hAnsi="Times New Roman" w:cs="Times New Roman"/>
          <w:sz w:val="24"/>
          <w:szCs w:val="24"/>
        </w:rPr>
        <w:t>4), 333-343.</w:t>
      </w:r>
    </w:p>
    <w:p w:rsidR="00C077E4" w:rsidRDefault="00C077E4" w:rsidP="00C077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könyvre</w:t>
      </w:r>
    </w:p>
    <w:p w:rsidR="00C077E4" w:rsidRDefault="00C077E4" w:rsidP="00C077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Enyedi,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>
        <w:rPr>
          <w:rFonts w:ascii="Times New Roman" w:hAnsi="Times New Roman" w:cs="Times New Roman"/>
          <w:sz w:val="24"/>
          <w:szCs w:val="24"/>
        </w:rPr>
        <w:t>. (2012)</w:t>
      </w:r>
      <w:r w:rsidR="00D565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7E4">
        <w:rPr>
          <w:rFonts w:ascii="Times New Roman" w:hAnsi="Times New Roman" w:cs="Times New Roman"/>
          <w:i/>
          <w:sz w:val="24"/>
          <w:szCs w:val="24"/>
        </w:rPr>
        <w:t>Városi világ</w:t>
      </w:r>
      <w:r>
        <w:rPr>
          <w:rFonts w:ascii="Times New Roman" w:hAnsi="Times New Roman" w:cs="Times New Roman"/>
          <w:sz w:val="24"/>
          <w:szCs w:val="24"/>
        </w:rPr>
        <w:t>. Akadémiai Kiadó, Budapest</w:t>
      </w:r>
    </w:p>
    <w:p w:rsidR="00C077E4" w:rsidRDefault="00C077E4" w:rsidP="00C077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, könyvben/tanulmánykötetben megjelent fejezetre</w:t>
      </w:r>
    </w:p>
    <w:p w:rsidR="00C077E4" w:rsidRDefault="00C077E4" w:rsidP="00C077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Makra, L. – Gál,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 – Vitányi, B. (2006)</w:t>
      </w:r>
      <w:r w:rsidR="00D565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 parlagfű </w:t>
      </w:r>
      <w:r w:rsidR="00FF780D">
        <w:rPr>
          <w:rFonts w:ascii="Times New Roman" w:hAnsi="Times New Roman" w:cs="Times New Roman"/>
          <w:sz w:val="24"/>
          <w:szCs w:val="24"/>
        </w:rPr>
        <w:t xml:space="preserve">koncentráció és a meteorológiai elemek kapcsolata Szegeden. </w:t>
      </w:r>
      <w:proofErr w:type="spellStart"/>
      <w:r w:rsidR="00FF780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FF780D">
        <w:rPr>
          <w:rFonts w:ascii="Times New Roman" w:hAnsi="Times New Roman" w:cs="Times New Roman"/>
          <w:sz w:val="24"/>
          <w:szCs w:val="24"/>
        </w:rPr>
        <w:t xml:space="preserve">. (szerk. Kókai S.) </w:t>
      </w:r>
      <w:r w:rsidR="00FF780D" w:rsidRPr="00A80134">
        <w:rPr>
          <w:rFonts w:ascii="Times New Roman" w:hAnsi="Times New Roman" w:cs="Times New Roman"/>
          <w:i/>
          <w:sz w:val="24"/>
          <w:szCs w:val="24"/>
        </w:rPr>
        <w:t>Földrajz és turizmus</w:t>
      </w:r>
      <w:r w:rsidR="00FF780D">
        <w:rPr>
          <w:rFonts w:ascii="Times New Roman" w:hAnsi="Times New Roman" w:cs="Times New Roman"/>
          <w:sz w:val="24"/>
          <w:szCs w:val="24"/>
        </w:rPr>
        <w:t>, Nyíregyházi Főiskola, Nyíregyháza, 233-248.</w:t>
      </w:r>
    </w:p>
    <w:p w:rsidR="005E5279" w:rsidRDefault="005E5279" w:rsidP="00C077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Internet – ezeket a hivatkozásokat külön helyen kell közölni, Internet-es források címmel</w:t>
      </w:r>
    </w:p>
    <w:p w:rsidR="005E5279" w:rsidRDefault="005E5279" w:rsidP="005E527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Internet1 - </w:t>
      </w:r>
      <w:hyperlink r:id="rId7" w:history="1">
        <w:r w:rsidRPr="00A8364D">
          <w:rPr>
            <w:rStyle w:val="Hiperhivatkozs"/>
            <w:rFonts w:ascii="Times New Roman" w:hAnsi="Times New Roman" w:cs="Times New Roman"/>
            <w:sz w:val="24"/>
            <w:szCs w:val="24"/>
          </w:rPr>
          <w:t>http://www.vgrdl.de/Arbeitskreis_VGR/tbls/tab.asp?lang=de-DE&amp;tbl=tab14</w:t>
        </w:r>
      </w:hyperlink>
      <w:r>
        <w:rPr>
          <w:rFonts w:ascii="Times New Roman" w:hAnsi="Times New Roman" w:cs="Times New Roman"/>
          <w:sz w:val="24"/>
          <w:szCs w:val="24"/>
        </w:rPr>
        <w:t>, letöltve:2014. február 22.</w:t>
      </w:r>
    </w:p>
    <w:p w:rsidR="00FF780D" w:rsidRDefault="00FF780D" w:rsidP="005E527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VII. Táblázatok</w:t>
      </w:r>
      <w:r w:rsidR="00D565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ábrák</w:t>
      </w:r>
      <w:r w:rsidR="00D5654F">
        <w:rPr>
          <w:rFonts w:ascii="Times New Roman" w:hAnsi="Times New Roman" w:cs="Times New Roman"/>
          <w:sz w:val="24"/>
          <w:szCs w:val="24"/>
        </w:rPr>
        <w:t xml:space="preserve"> és fényképek</w:t>
      </w:r>
    </w:p>
    <w:p w:rsidR="00FF780D" w:rsidRDefault="00FF780D" w:rsidP="005E527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táblázatok – az alábbi módszer használata ajánlott </w:t>
      </w:r>
    </w:p>
    <w:p w:rsidR="00FF780D" w:rsidRDefault="00FF780D" w:rsidP="005E527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., a táblázatban és a címben szimpla sortávolság</w:t>
      </w:r>
    </w:p>
    <w:p w:rsidR="00FF780D" w:rsidRDefault="00FF780D" w:rsidP="005E527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táblázat címe és a táblázat, illetve a táblázat és a Forrás között 0,3-as térköz</w:t>
      </w:r>
    </w:p>
    <w:p w:rsidR="00FF780D" w:rsidRDefault="00FF780D" w:rsidP="005E527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, a szövegben hivatkozni kell a táblázatra: „Az adatok alapján (1. táblázat) jól látható, hogy ….”</w:t>
      </w:r>
    </w:p>
    <w:p w:rsidR="00FF780D" w:rsidRDefault="00FF780D" w:rsidP="005E5279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F780D" w:rsidRDefault="00FF780D" w:rsidP="00FF780D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80D">
        <w:rPr>
          <w:rFonts w:ascii="Times New Roman" w:hAnsi="Times New Roman" w:cs="Times New Roman"/>
          <w:b/>
          <w:sz w:val="24"/>
          <w:szCs w:val="24"/>
        </w:rPr>
        <w:t>1. táblázat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passzív házak funkciók szerinti megoszlása világviszonylat és Németországban 2013 végén (%)</w:t>
      </w:r>
    </w:p>
    <w:tbl>
      <w:tblPr>
        <w:tblStyle w:val="Rcsostblzat"/>
        <w:tblW w:w="0" w:type="auto"/>
        <w:tblInd w:w="108" w:type="dxa"/>
        <w:tblLook w:val="04A0"/>
      </w:tblPr>
      <w:tblGrid>
        <w:gridCol w:w="3686"/>
        <w:gridCol w:w="2709"/>
        <w:gridCol w:w="2709"/>
      </w:tblGrid>
      <w:tr w:rsidR="00FF780D" w:rsidTr="006C195D">
        <w:tc>
          <w:tcPr>
            <w:tcW w:w="3686" w:type="dxa"/>
          </w:tcPr>
          <w:p w:rsidR="00FF780D" w:rsidRDefault="00FF780D" w:rsidP="00FF7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:rsidR="00FF780D" w:rsidRDefault="00FF780D" w:rsidP="00FF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egész Föld</w:t>
            </w:r>
          </w:p>
        </w:tc>
        <w:tc>
          <w:tcPr>
            <w:tcW w:w="2709" w:type="dxa"/>
          </w:tcPr>
          <w:p w:rsidR="00FF780D" w:rsidRDefault="00FF780D" w:rsidP="00FF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Németország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családi házak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60,4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57,8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egyéb lakófunkció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*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26,6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31,2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lakófunkció összesen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87,0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89,0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közigazgatási funkció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3,9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3,9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vegyes (lakó és piaci) funkció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1,3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1,5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piaci funkció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1,8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0,5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oktatási funkció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4,6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3,8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sport funkció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0,6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0,8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016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szociális és egészségügyi funkció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0,8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0,7</w:t>
            </w:r>
          </w:p>
        </w:tc>
      </w:tr>
      <w:tr w:rsidR="00FF780D" w:rsidTr="006C195D">
        <w:tc>
          <w:tcPr>
            <w:tcW w:w="3686" w:type="dxa"/>
            <w:vAlign w:val="bottom"/>
          </w:tcPr>
          <w:p w:rsidR="00FF780D" w:rsidRPr="00016832" w:rsidRDefault="00FF780D" w:rsidP="00FF780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100,0</w:t>
            </w:r>
          </w:p>
        </w:tc>
        <w:tc>
          <w:tcPr>
            <w:tcW w:w="2709" w:type="dxa"/>
            <w:vAlign w:val="bottom"/>
          </w:tcPr>
          <w:p w:rsidR="00FF780D" w:rsidRPr="00016832" w:rsidRDefault="00FF780D" w:rsidP="00FF780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100,0</w:t>
            </w:r>
          </w:p>
        </w:tc>
      </w:tr>
    </w:tbl>
    <w:p w:rsidR="00FF780D" w:rsidRDefault="00FF780D" w:rsidP="00FF780D">
      <w:pPr>
        <w:spacing w:before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Forrás: Internet1</w:t>
      </w:r>
    </w:p>
    <w:p w:rsidR="00FF780D" w:rsidRDefault="00FF780D" w:rsidP="00FF780D">
      <w:pPr>
        <w:spacing w:before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F780D" w:rsidRDefault="00FF780D" w:rsidP="00FF780D">
      <w:pPr>
        <w:spacing w:before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ábrák </w:t>
      </w:r>
      <w:r w:rsidR="00D5654F">
        <w:rPr>
          <w:rFonts w:ascii="Times New Roman" w:hAnsi="Times New Roman" w:cs="Times New Roman"/>
          <w:sz w:val="24"/>
          <w:szCs w:val="24"/>
        </w:rPr>
        <w:t xml:space="preserve">és fényképek </w:t>
      </w:r>
      <w:r>
        <w:rPr>
          <w:rFonts w:ascii="Times New Roman" w:hAnsi="Times New Roman" w:cs="Times New Roman"/>
          <w:sz w:val="24"/>
          <w:szCs w:val="24"/>
        </w:rPr>
        <w:t>– az alábbi módszer használata ajánlott</w:t>
      </w:r>
    </w:p>
    <w:p w:rsidR="00A80134" w:rsidRDefault="00A80134" w:rsidP="00A8013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., a címben szimpla sortávolság</w:t>
      </w:r>
    </w:p>
    <w:p w:rsidR="00A80134" w:rsidRDefault="00A80134" w:rsidP="00A8013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ábra és az ábra címe, illetve az ábra címe és a Forrás között 0,3-as térköz</w:t>
      </w:r>
    </w:p>
    <w:p w:rsidR="00A80134" w:rsidRDefault="00A80134" w:rsidP="00A8013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c.</w:t>
      </w:r>
      <w:proofErr w:type="gramEnd"/>
      <w:r>
        <w:rPr>
          <w:rFonts w:ascii="Times New Roman" w:hAnsi="Times New Roman" w:cs="Times New Roman"/>
          <w:sz w:val="24"/>
          <w:szCs w:val="24"/>
        </w:rPr>
        <w:t>, a szövegben hivatkozni kell az ábrára: „Az adatok alapján (1. ábra) jól látható, hogy ….”</w:t>
      </w:r>
    </w:p>
    <w:p w:rsidR="00A80134" w:rsidRDefault="00A80134" w:rsidP="00FF780D">
      <w:pPr>
        <w:spacing w:before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0134" w:rsidRDefault="00A80134" w:rsidP="00FF780D">
      <w:pPr>
        <w:spacing w:before="6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F780D" w:rsidRPr="00DD16AD" w:rsidRDefault="00FF780D" w:rsidP="00FF780D">
      <w:pPr>
        <w:spacing w:before="6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>
            <wp:extent cx="5524500" cy="3667125"/>
            <wp:effectExtent l="0" t="0" r="19050" b="9525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F780D" w:rsidRDefault="00FF780D" w:rsidP="00A80134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FF780D">
        <w:rPr>
          <w:rFonts w:ascii="Times New Roman" w:hAnsi="Times New Roman" w:cs="Times New Roman"/>
          <w:b/>
          <w:sz w:val="24"/>
          <w:szCs w:val="24"/>
        </w:rPr>
        <w:t>1. ábra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683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16832">
        <w:rPr>
          <w:rFonts w:ascii="Times New Roman" w:hAnsi="Times New Roman" w:cs="Times New Roman"/>
          <w:sz w:val="24"/>
          <w:szCs w:val="24"/>
        </w:rPr>
        <w:t xml:space="preserve"> passzív házak számának alakulása 1991 és 2012 között</w:t>
      </w:r>
      <w:r>
        <w:rPr>
          <w:rFonts w:ascii="Times New Roman" w:hAnsi="Times New Roman" w:cs="Times New Roman"/>
          <w:sz w:val="24"/>
          <w:szCs w:val="24"/>
        </w:rPr>
        <w:t xml:space="preserve"> a Földön és Németországban</w:t>
      </w:r>
    </w:p>
    <w:p w:rsidR="005E5279" w:rsidRDefault="00FF780D" w:rsidP="00FF780D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Forrás: Internet1</w:t>
      </w:r>
    </w:p>
    <w:p w:rsidR="00A80134" w:rsidRDefault="00A80134" w:rsidP="00A8013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VIII. Stílusjegyek</w:t>
      </w:r>
    </w:p>
    <w:p w:rsidR="00A80134" w:rsidRDefault="00A80134" w:rsidP="00A80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megírása során törekedni kell a jó olvashatóságra (gondolni kell a bírálóra). Ennek szellemében:</w:t>
      </w:r>
    </w:p>
    <w:p w:rsidR="00A80134" w:rsidRDefault="00A80134" w:rsidP="00A80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kerülni kell a túl hosszú bekezdéseket (egy bekezdés hossza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10-12 sor, ne legyen egy teljes oldal egy bekezdés),</w:t>
      </w:r>
    </w:p>
    <w:p w:rsidR="00A80134" w:rsidRDefault="00A80134" w:rsidP="00A80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 logikailag összetartozó bekezdéseket (pl. 2-3 bekezdés) egy üres sorral válasszuk el a többi bekezdéstől,</w:t>
      </w:r>
    </w:p>
    <w:p w:rsidR="00A80134" w:rsidRDefault="00A80134" w:rsidP="00A8013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 fontos dolgokat valamilyen módon emeljük ki (pl. </w:t>
      </w:r>
      <w:proofErr w:type="spellStart"/>
      <w:r w:rsidRPr="00A80134">
        <w:rPr>
          <w:rFonts w:ascii="Times New Roman" w:hAnsi="Times New Roman" w:cs="Times New Roman"/>
          <w:b/>
          <w:sz w:val="24"/>
          <w:szCs w:val="24"/>
        </w:rPr>
        <w:t>bold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A80134" w:rsidRDefault="00A80134" w:rsidP="00A8013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80134" w:rsidRDefault="00A80134" w:rsidP="00A8013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B., Tartalmi követelmények</w:t>
      </w:r>
    </w:p>
    <w:p w:rsidR="00A80134" w:rsidRDefault="00A80134" w:rsidP="00A80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szakdolgozat készítése során két lehetőség közül lehet választani: saját mérésekre, adatgyűjtésre támaszkodó munka</w:t>
      </w:r>
      <w:r w:rsidR="00A42DC6">
        <w:rPr>
          <w:rFonts w:ascii="Times New Roman" w:hAnsi="Times New Roman" w:cs="Times New Roman"/>
          <w:sz w:val="24"/>
          <w:szCs w:val="24"/>
        </w:rPr>
        <w:t xml:space="preserve"> (természetes ebben az esetben is kell szakirodalmi áttekintés)</w:t>
      </w:r>
      <w:r>
        <w:rPr>
          <w:rFonts w:ascii="Times New Roman" w:hAnsi="Times New Roman" w:cs="Times New Roman"/>
          <w:sz w:val="24"/>
          <w:szCs w:val="24"/>
        </w:rPr>
        <w:t>, illetve a témával foglalkozó szakirodalom feldolgozására épülő munka</w:t>
      </w:r>
      <w:r w:rsidR="00A42DC6">
        <w:rPr>
          <w:rFonts w:ascii="Times New Roman" w:hAnsi="Times New Roman" w:cs="Times New Roman"/>
          <w:sz w:val="24"/>
          <w:szCs w:val="24"/>
        </w:rPr>
        <w:t xml:space="preserve"> (ebben az esetben a fejezetcímek módosulhatnak)</w:t>
      </w:r>
      <w:r>
        <w:rPr>
          <w:rFonts w:ascii="Times New Roman" w:hAnsi="Times New Roman" w:cs="Times New Roman"/>
          <w:sz w:val="24"/>
          <w:szCs w:val="24"/>
        </w:rPr>
        <w:t>. Az első esetben az elvárt szakirodalmi hivatkozás száma 15 darab folyóiratcikk, könyv, könyvfejezet stb., míg az utóbbi esetben 20 darab.</w:t>
      </w:r>
    </w:p>
    <w:p w:rsidR="00A80134" w:rsidRDefault="00A80134" w:rsidP="00A801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dolgozat minimális hossza a korábban leírt követelményeknek megfelelő 30 oldal, amelyből minimum 20 oldal írott szöveg legyen. A dolgozatnak minimum 10 grafikus elemet (táblázatot vagy ábrát) kell tartalmaznia.  </w:t>
      </w:r>
    </w:p>
    <w:p w:rsidR="00C077E4" w:rsidRPr="00BE3D55" w:rsidRDefault="00C077E4" w:rsidP="00C077E4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077E4" w:rsidRPr="00BE3D55" w:rsidSect="004B14E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F0" w:rsidRDefault="000F28F0" w:rsidP="00A80134">
      <w:pPr>
        <w:spacing w:line="240" w:lineRule="auto"/>
      </w:pPr>
      <w:r>
        <w:separator/>
      </w:r>
    </w:p>
  </w:endnote>
  <w:endnote w:type="continuationSeparator" w:id="0">
    <w:p w:rsidR="000F28F0" w:rsidRDefault="000F28F0" w:rsidP="00A80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4312173"/>
      <w:docPartObj>
        <w:docPartGallery w:val="Page Numbers (Bottom of Page)"/>
        <w:docPartUnique/>
      </w:docPartObj>
    </w:sdtPr>
    <w:sdtContent>
      <w:p w:rsidR="00A80134" w:rsidRDefault="004B14EF">
        <w:pPr>
          <w:pStyle w:val="llb"/>
        </w:pPr>
        <w:r>
          <w:fldChar w:fldCharType="begin"/>
        </w:r>
        <w:r w:rsidR="00A80134">
          <w:instrText>PAGE   \* MERGEFORMAT</w:instrText>
        </w:r>
        <w:r>
          <w:fldChar w:fldCharType="separate"/>
        </w:r>
        <w:r w:rsidR="00D363DE">
          <w:rPr>
            <w:noProof/>
          </w:rPr>
          <w:t>1</w:t>
        </w:r>
        <w:r>
          <w:fldChar w:fldCharType="end"/>
        </w:r>
      </w:p>
    </w:sdtContent>
  </w:sdt>
  <w:p w:rsidR="00A80134" w:rsidRDefault="00A8013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F0" w:rsidRDefault="000F28F0" w:rsidP="00A80134">
      <w:pPr>
        <w:spacing w:line="240" w:lineRule="auto"/>
      </w:pPr>
      <w:r>
        <w:separator/>
      </w:r>
    </w:p>
  </w:footnote>
  <w:footnote w:type="continuationSeparator" w:id="0">
    <w:p w:rsidR="000F28F0" w:rsidRDefault="000F28F0" w:rsidP="00A801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3D55"/>
    <w:rsid w:val="000F28F0"/>
    <w:rsid w:val="0048020C"/>
    <w:rsid w:val="004B14EF"/>
    <w:rsid w:val="004E6387"/>
    <w:rsid w:val="00542BFC"/>
    <w:rsid w:val="005E5279"/>
    <w:rsid w:val="0067619D"/>
    <w:rsid w:val="0080242F"/>
    <w:rsid w:val="008456D0"/>
    <w:rsid w:val="00A42DC6"/>
    <w:rsid w:val="00A80134"/>
    <w:rsid w:val="00A86292"/>
    <w:rsid w:val="00BE3D55"/>
    <w:rsid w:val="00C077E4"/>
    <w:rsid w:val="00D363DE"/>
    <w:rsid w:val="00D5654F"/>
    <w:rsid w:val="00E2705F"/>
    <w:rsid w:val="00F776FD"/>
    <w:rsid w:val="00FF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14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3D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E527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F78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F7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80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013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0134"/>
  </w:style>
  <w:style w:type="paragraph" w:styleId="llb">
    <w:name w:val="footer"/>
    <w:basedOn w:val="Norml"/>
    <w:link w:val="llbChar"/>
    <w:uiPriority w:val="99"/>
    <w:unhideWhenUsed/>
    <w:rsid w:val="00A8013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01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3D5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E527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F78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F7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780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8013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80134"/>
  </w:style>
  <w:style w:type="paragraph" w:styleId="llb">
    <w:name w:val="footer"/>
    <w:basedOn w:val="Norml"/>
    <w:link w:val="llbChar"/>
    <w:uiPriority w:val="99"/>
    <w:unhideWhenUsed/>
    <w:rsid w:val="00A8013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01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vgrdl.de/Arbeitskreis_VGR/tbls/tab.asp?lang=de-DE&amp;tbl=tab1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munkaf_z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hu-HU"/>
  <c:chart>
    <c:plotArea>
      <c:layout/>
      <c:lineChart>
        <c:grouping val="standard"/>
        <c:ser>
          <c:idx val="0"/>
          <c:order val="0"/>
          <c:tx>
            <c:strRef>
              <c:f>Munka1!$B$1</c:f>
              <c:strCache>
                <c:ptCount val="1"/>
                <c:pt idx="0">
                  <c:v>Föld</c:v>
                </c:pt>
              </c:strCache>
            </c:strRef>
          </c:tx>
          <c:spPr>
            <a:ln>
              <a:prstDash val="dash"/>
            </a:ln>
          </c:spPr>
          <c:marker>
            <c:symbol val="none"/>
          </c:marker>
          <c:cat>
            <c:numRef>
              <c:f>Munka1!$A$2:$A$23</c:f>
              <c:numCache>
                <c:formatCode>General</c:formatCode>
                <c:ptCount val="22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</c:numCache>
            </c:numRef>
          </c:cat>
          <c:val>
            <c:numRef>
              <c:f>Munka1!$B$2:$B$23</c:f>
              <c:numCache>
                <c:formatCode>General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15</c:v>
                </c:pt>
                <c:pt idx="7">
                  <c:v>55</c:v>
                </c:pt>
                <c:pt idx="8">
                  <c:v>132</c:v>
                </c:pt>
                <c:pt idx="9">
                  <c:v>268</c:v>
                </c:pt>
                <c:pt idx="10">
                  <c:v>371</c:v>
                </c:pt>
                <c:pt idx="11">
                  <c:v>511</c:v>
                </c:pt>
                <c:pt idx="12">
                  <c:v>701</c:v>
                </c:pt>
                <c:pt idx="13">
                  <c:v>944</c:v>
                </c:pt>
                <c:pt idx="14">
                  <c:v>1193</c:v>
                </c:pt>
                <c:pt idx="15">
                  <c:v>1436</c:v>
                </c:pt>
                <c:pt idx="16">
                  <c:v>1683</c:v>
                </c:pt>
                <c:pt idx="17">
                  <c:v>1956</c:v>
                </c:pt>
                <c:pt idx="18">
                  <c:v>2299</c:v>
                </c:pt>
                <c:pt idx="19">
                  <c:v>2596</c:v>
                </c:pt>
                <c:pt idx="20">
                  <c:v>2823</c:v>
                </c:pt>
                <c:pt idx="21">
                  <c:v>2965</c:v>
                </c:pt>
              </c:numCache>
            </c:numRef>
          </c:val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Németország</c:v>
                </c:pt>
              </c:strCache>
            </c:strRef>
          </c:tx>
          <c:marker>
            <c:symbol val="none"/>
          </c:marker>
          <c:cat>
            <c:numRef>
              <c:f>Munka1!$A$2:$A$23</c:f>
              <c:numCache>
                <c:formatCode>General</c:formatCode>
                <c:ptCount val="22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</c:numCache>
            </c:numRef>
          </c:cat>
          <c:val>
            <c:numRef>
              <c:f>Munka1!$C$2:$C$23</c:f>
              <c:numCache>
                <c:formatCode>General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10</c:v>
                </c:pt>
                <c:pt idx="7">
                  <c:v>45</c:v>
                </c:pt>
                <c:pt idx="8">
                  <c:v>106</c:v>
                </c:pt>
                <c:pt idx="9">
                  <c:v>215</c:v>
                </c:pt>
                <c:pt idx="10">
                  <c:v>297</c:v>
                </c:pt>
                <c:pt idx="11">
                  <c:v>393</c:v>
                </c:pt>
                <c:pt idx="12">
                  <c:v>506</c:v>
                </c:pt>
                <c:pt idx="13">
                  <c:v>650</c:v>
                </c:pt>
                <c:pt idx="14">
                  <c:v>790</c:v>
                </c:pt>
                <c:pt idx="15">
                  <c:v>923</c:v>
                </c:pt>
                <c:pt idx="16">
                  <c:v>1062</c:v>
                </c:pt>
                <c:pt idx="17">
                  <c:v>1213</c:v>
                </c:pt>
                <c:pt idx="18">
                  <c:v>1406</c:v>
                </c:pt>
                <c:pt idx="19">
                  <c:v>1550</c:v>
                </c:pt>
                <c:pt idx="20">
                  <c:v>1706</c:v>
                </c:pt>
                <c:pt idx="21">
                  <c:v>1791</c:v>
                </c:pt>
              </c:numCache>
            </c:numRef>
          </c:val>
        </c:ser>
        <c:marker val="1"/>
        <c:axId val="133419008"/>
        <c:axId val="133420544"/>
      </c:lineChart>
      <c:catAx>
        <c:axId val="133419008"/>
        <c:scaling>
          <c:orientation val="minMax"/>
        </c:scaling>
        <c:axPos val="b"/>
        <c:numFmt formatCode="General" sourceLinked="1"/>
        <c:tickLblPos val="nextTo"/>
        <c:crossAx val="133420544"/>
        <c:crosses val="autoZero"/>
        <c:auto val="1"/>
        <c:lblAlgn val="ctr"/>
        <c:lblOffset val="100"/>
      </c:catAx>
      <c:valAx>
        <c:axId val="133420544"/>
        <c:scaling>
          <c:orientation val="minMax"/>
        </c:scaling>
        <c:axPos val="l"/>
        <c:majorGridlines/>
        <c:numFmt formatCode="General" sourceLinked="1"/>
        <c:tickLblPos val="nextTo"/>
        <c:crossAx val="1334190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0D9DA-27C9-4D99-95C1-E5FB075D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5142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Kozma Gábor</dc:creator>
  <cp:lastModifiedBy>kircsia</cp:lastModifiedBy>
  <cp:revision>2</cp:revision>
  <dcterms:created xsi:type="dcterms:W3CDTF">2014-03-26T10:10:00Z</dcterms:created>
  <dcterms:modified xsi:type="dcterms:W3CDTF">2014-03-26T10:10:00Z</dcterms:modified>
</cp:coreProperties>
</file>